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55A88F66" w14:textId="7D13D785" w:rsidR="00A160B2" w:rsidRPr="00A160B2" w:rsidRDefault="00B84A87" w:rsidP="007D4054">
            <w:pPr>
              <w:pStyle w:val="Heading1"/>
              <w:outlineLvl w:val="0"/>
              <w:rPr>
                <w:color w:val="0000FF"/>
                <w:szCs w:val="24"/>
              </w:rPr>
            </w:pPr>
            <w:r>
              <w:t xml:space="preserve">Pension </w:t>
            </w:r>
            <w:r w:rsidR="00AE367A">
              <w:t>Board</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84576B0" w:rsidR="00A160B2" w:rsidRDefault="00DE066C" w:rsidP="006C3150">
            <w:pPr>
              <w:pStyle w:val="Infotext"/>
              <w:rPr>
                <w:rFonts w:cs="Arial"/>
              </w:rPr>
            </w:pPr>
            <w:r>
              <w:rPr>
                <w:rFonts w:cs="Arial"/>
              </w:rPr>
              <w:t>6 October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38A6D195" w14:textId="77777777" w:rsidR="00A160B2" w:rsidRDefault="00E00D85" w:rsidP="006C3150">
            <w:pPr>
              <w:pStyle w:val="Infotext"/>
              <w:rPr>
                <w:rFonts w:cs="Arial"/>
              </w:rPr>
            </w:pPr>
            <w:r>
              <w:rPr>
                <w:rFonts w:cs="Arial"/>
              </w:rPr>
              <w:t>Update on London CIV and Investment Poolin</w:t>
            </w:r>
            <w:bookmarkStart w:id="0" w:name="_GoBack"/>
            <w:bookmarkEnd w:id="0"/>
            <w:r>
              <w:rPr>
                <w:rFonts w:cs="Arial"/>
              </w:rPr>
              <w:t>g Arrangements</w:t>
            </w:r>
          </w:p>
          <w:p w14:paraId="5914456E" w14:textId="25513D3B" w:rsidR="007D4054" w:rsidRDefault="007D4054"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007F63F2" w14:textId="6D95CE62" w:rsidR="00C16231" w:rsidRPr="00E56213" w:rsidRDefault="00C16231" w:rsidP="00C16231">
            <w:pPr>
              <w:jc w:val="both"/>
              <w:rPr>
                <w:rFonts w:cs="Arial"/>
                <w:sz w:val="28"/>
                <w:szCs w:val="28"/>
              </w:rPr>
            </w:pPr>
            <w:r w:rsidRPr="00E56213">
              <w:rPr>
                <w:rFonts w:cs="Arial"/>
                <w:sz w:val="28"/>
                <w:szCs w:val="28"/>
              </w:rPr>
              <w:t>Yes – Appendi</w:t>
            </w:r>
            <w:r>
              <w:rPr>
                <w:rFonts w:cs="Arial"/>
                <w:sz w:val="28"/>
                <w:szCs w:val="28"/>
              </w:rPr>
              <w:t>ces</w:t>
            </w:r>
            <w:r w:rsidRPr="00E56213">
              <w:rPr>
                <w:rFonts w:cs="Arial"/>
                <w:sz w:val="28"/>
                <w:szCs w:val="28"/>
              </w:rPr>
              <w:t xml:space="preserve"> </w:t>
            </w:r>
            <w:r>
              <w:rPr>
                <w:rFonts w:cs="Arial"/>
                <w:sz w:val="28"/>
                <w:szCs w:val="28"/>
              </w:rPr>
              <w:t xml:space="preserve">1 and 2 </w:t>
            </w:r>
            <w:r w:rsidR="007D4054">
              <w:rPr>
                <w:rFonts w:cs="Arial"/>
                <w:sz w:val="28"/>
                <w:szCs w:val="28"/>
              </w:rPr>
              <w:t>are e</w:t>
            </w:r>
            <w:r w:rsidRPr="00E56213">
              <w:rPr>
                <w:rFonts w:cs="Arial"/>
                <w:sz w:val="28"/>
                <w:szCs w:val="28"/>
              </w:rPr>
              <w:t xml:space="preserve">xempt from publication under paragraph 3, Part 1 of Schedule 12A to the Local Government Act 1972 (as amended) as </w:t>
            </w:r>
            <w:r w:rsidR="007D4054">
              <w:rPr>
                <w:rFonts w:cs="Arial"/>
                <w:sz w:val="28"/>
                <w:szCs w:val="28"/>
              </w:rPr>
              <w:t>they</w:t>
            </w:r>
            <w:r w:rsidRPr="00E56213">
              <w:rPr>
                <w:rFonts w:cs="Arial"/>
                <w:sz w:val="28"/>
                <w:szCs w:val="28"/>
              </w:rPr>
              <w:t xml:space="preserve"> contain information relating to the financial or business affairs of any particular</w:t>
            </w:r>
            <w:r>
              <w:rPr>
                <w:rFonts w:cs="Arial"/>
                <w:sz w:val="28"/>
                <w:szCs w:val="28"/>
              </w:rPr>
              <w:t xml:space="preserve"> </w:t>
            </w:r>
            <w:r w:rsidRPr="00E56213">
              <w:rPr>
                <w:rFonts w:cs="Arial"/>
                <w:sz w:val="28"/>
                <w:szCs w:val="28"/>
              </w:rPr>
              <w:t>person (including the authority holding that information)</w:t>
            </w:r>
          </w:p>
          <w:p w14:paraId="4C873B59" w14:textId="20851B35" w:rsidR="00A160B2" w:rsidRDefault="00A160B2" w:rsidP="00C16231">
            <w:pPr>
              <w:jc w:val="both"/>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7D4054" w:rsidRDefault="00180D94" w:rsidP="006C3150">
            <w:pPr>
              <w:pStyle w:val="Infotext"/>
              <w:rPr>
                <w:bCs/>
              </w:rPr>
            </w:pPr>
            <w:r w:rsidRPr="007D4054">
              <w:rPr>
                <w:bCs/>
              </w:rPr>
              <w:t>No</w:t>
            </w:r>
            <w:r w:rsidR="00A80313" w:rsidRPr="007D4054">
              <w:rPr>
                <w:bCs/>
              </w:rPr>
              <w:t>t applicable</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5AA0798B" w14:textId="77777777" w:rsidR="00922249" w:rsidRPr="00C16231" w:rsidRDefault="00C16231" w:rsidP="00A80313">
            <w:pPr>
              <w:pStyle w:val="Infotext"/>
              <w:tabs>
                <w:tab w:val="center" w:pos="2352"/>
              </w:tabs>
            </w:pPr>
            <w:r w:rsidRPr="00C16231">
              <w:t xml:space="preserve">Exempt </w:t>
            </w:r>
            <w:r w:rsidR="00E2344F" w:rsidRPr="00C16231">
              <w:t>Appendix 1 –</w:t>
            </w:r>
            <w:r w:rsidR="00AE367A" w:rsidRPr="00C16231">
              <w:t xml:space="preserve"> </w:t>
            </w:r>
            <w:r w:rsidRPr="00C16231">
              <w:t>London CIV net savings by client 2020-21</w:t>
            </w:r>
          </w:p>
          <w:p w14:paraId="4C232B02" w14:textId="7F3082AE" w:rsidR="00C16231" w:rsidRPr="00C16231" w:rsidRDefault="00C16231" w:rsidP="00A80313">
            <w:pPr>
              <w:pStyle w:val="Infotext"/>
              <w:tabs>
                <w:tab w:val="center" w:pos="2352"/>
              </w:tabs>
            </w:pPr>
            <w:r w:rsidRPr="00C16231">
              <w:t xml:space="preserve">Exempt appendix 2 – London CIV </w:t>
            </w:r>
            <w:r>
              <w:t>net savings since inception</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2C3F7321" w14:textId="77777777" w:rsidR="007D4054" w:rsidRDefault="007D4054" w:rsidP="00912904">
            <w:pPr>
              <w:pStyle w:val="Heading2"/>
              <w:spacing w:before="240" w:after="240"/>
            </w:pPr>
          </w:p>
          <w:p w14:paraId="47AF8288" w14:textId="537AE210"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2BFCB760" w14:textId="3FF546FA" w:rsidR="00E00D85" w:rsidRDefault="00E00D85" w:rsidP="00E00D85">
            <w:r w:rsidRPr="008658CB">
              <w:t xml:space="preserve">This </w:t>
            </w:r>
            <w:r w:rsidRPr="00151033">
              <w:t>report</w:t>
            </w:r>
            <w:r>
              <w:t xml:space="preserve"> updates the Board on the current position of the Fund’s investments in the context of the Government’s requirements for pooling, and on current developments within the London CIV.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19A3888E" w14:textId="77777777" w:rsidR="00A160B2" w:rsidRDefault="00E2344F" w:rsidP="00E2344F">
            <w:r>
              <w:t xml:space="preserve">The </w:t>
            </w:r>
            <w:r w:rsidR="00E00D85">
              <w:t xml:space="preserve">Board </w:t>
            </w:r>
            <w:r>
              <w:t>is re</w:t>
            </w:r>
            <w:r w:rsidR="00E00D85">
              <w:t>quested to note the report.</w:t>
            </w:r>
            <w:r w:rsidR="00A160B2">
              <w:t xml:space="preserve">  </w:t>
            </w:r>
          </w:p>
          <w:p w14:paraId="59850B4E" w14:textId="77777777" w:rsidR="007D4054" w:rsidRDefault="007D4054" w:rsidP="00E2344F"/>
          <w:p w14:paraId="714CBDEE" w14:textId="31BA7772" w:rsidR="007D4054" w:rsidRDefault="007D4054" w:rsidP="00E2344F"/>
        </w:tc>
      </w:tr>
    </w:tbl>
    <w:p w14:paraId="1911551C" w14:textId="600FA6B2" w:rsidR="00E2344F" w:rsidRPr="00E2344F" w:rsidRDefault="002A2389" w:rsidP="007D4054">
      <w:pPr>
        <w:pStyle w:val="Heading2"/>
      </w:pPr>
      <w:r>
        <w:lastRenderedPageBreak/>
        <w:t>Section 2 – Report</w:t>
      </w:r>
    </w:p>
    <w:p w14:paraId="60E7929F" w14:textId="77777777" w:rsidR="008306D5" w:rsidRDefault="008306D5" w:rsidP="008306D5">
      <w:pPr>
        <w:ind w:left="284"/>
        <w:jc w:val="both"/>
      </w:pPr>
      <w:bookmarkStart w:id="1" w:name="_Hlk74148209"/>
    </w:p>
    <w:p w14:paraId="0D2C8D83" w14:textId="22FCCEEF" w:rsidR="000651D7" w:rsidRDefault="000651D7" w:rsidP="000651D7">
      <w:pPr>
        <w:numPr>
          <w:ilvl w:val="0"/>
          <w:numId w:val="16"/>
        </w:numPr>
        <w:tabs>
          <w:tab w:val="clear" w:pos="584"/>
          <w:tab w:val="num" w:pos="284"/>
        </w:tabs>
        <w:ind w:left="284" w:hanging="284"/>
        <w:jc w:val="both"/>
      </w:pPr>
      <w:r w:rsidRPr="001A1D04">
        <w:t xml:space="preserve">Government’s approach to pooling of investments was developed to improve the efficiency and minimise costs (including fees paid to investment managers) of </w:t>
      </w:r>
      <w:r>
        <w:t xml:space="preserve">LGPS </w:t>
      </w:r>
      <w:r w:rsidRPr="001A1D04">
        <w:t>Funds’ investments. The statutory guidance on investment pooling issued under the LGPS (Management and Investment of Funds) Regulations 2016 is specific in that it requires Funds to transition assets into the pool as quickly and cost effectively as possible, and states that “from 2020, funds should only make new investments outside of a pool in very limited circumstances”. It is generally considered an informal target that as a minimum, Funds should have pooled at least 75% of their assets by 2023.  Harrow is a member of the London Collective Investment Vehicle (LCIV), the investment pool for the pension funds of the City of London and the London Boroughs.</w:t>
      </w:r>
    </w:p>
    <w:p w14:paraId="579B60AB" w14:textId="77777777" w:rsidR="000651D7" w:rsidRDefault="000651D7" w:rsidP="000651D7">
      <w:pPr>
        <w:ind w:left="284"/>
        <w:jc w:val="both"/>
      </w:pPr>
    </w:p>
    <w:p w14:paraId="3034E9DE" w14:textId="56B7E2DC" w:rsidR="000651D7" w:rsidRPr="000651D7" w:rsidRDefault="000651D7" w:rsidP="000651D7">
      <w:pPr>
        <w:numPr>
          <w:ilvl w:val="0"/>
          <w:numId w:val="16"/>
        </w:numPr>
        <w:tabs>
          <w:tab w:val="clear" w:pos="584"/>
          <w:tab w:val="num" w:pos="284"/>
        </w:tabs>
        <w:ind w:left="284" w:hanging="284"/>
        <w:jc w:val="both"/>
        <w:rPr>
          <w:szCs w:val="24"/>
        </w:rPr>
      </w:pPr>
      <w:r>
        <w:t>Against these objectives, Harrow is making good progress. At 31 July 2021, Harrow had approximately £</w:t>
      </w:r>
      <w:r w:rsidRPr="006603A8">
        <w:t>598m</w:t>
      </w:r>
      <w:r>
        <w:t xml:space="preserve"> of assets invested via LCIV, or in the passive equity funds where a pooled fee arrangement was negotiated via LCIV – this equates to 58.5% of the Fund. </w:t>
      </w:r>
    </w:p>
    <w:p w14:paraId="406B0E5B" w14:textId="77777777" w:rsidR="000651D7" w:rsidRDefault="000651D7" w:rsidP="000651D7">
      <w:pPr>
        <w:pStyle w:val="ListParagraph"/>
        <w:rPr>
          <w:szCs w:val="24"/>
        </w:rPr>
      </w:pPr>
    </w:p>
    <w:p w14:paraId="78FCAF5E" w14:textId="120EAE99" w:rsidR="000651D7" w:rsidRDefault="000651D7" w:rsidP="000651D7">
      <w:pPr>
        <w:numPr>
          <w:ilvl w:val="0"/>
          <w:numId w:val="16"/>
        </w:numPr>
        <w:tabs>
          <w:tab w:val="clear" w:pos="584"/>
          <w:tab w:val="num" w:pos="284"/>
        </w:tabs>
        <w:ind w:left="284" w:hanging="284"/>
        <w:jc w:val="both"/>
        <w:rPr>
          <w:szCs w:val="24"/>
        </w:rPr>
      </w:pPr>
      <w:r w:rsidRPr="000651D7">
        <w:rPr>
          <w:szCs w:val="24"/>
        </w:rPr>
        <w:t xml:space="preserve">During 2021 the Pension Fund Committee has taken </w:t>
      </w:r>
      <w:proofErr w:type="gramStart"/>
      <w:r w:rsidRPr="000651D7">
        <w:rPr>
          <w:szCs w:val="24"/>
        </w:rPr>
        <w:t>a number of</w:t>
      </w:r>
      <w:proofErr w:type="gramEnd"/>
      <w:r w:rsidRPr="000651D7">
        <w:rPr>
          <w:szCs w:val="24"/>
        </w:rPr>
        <w:t xml:space="preserve"> decisions which have built on previous progress and increased the proportion of investments regarded as pooled, as follows</w:t>
      </w:r>
      <w:r>
        <w:rPr>
          <w:szCs w:val="24"/>
        </w:rPr>
        <w:t xml:space="preserve">. </w:t>
      </w:r>
    </w:p>
    <w:p w14:paraId="179A837D" w14:textId="77777777" w:rsidR="000651D7" w:rsidRDefault="000651D7" w:rsidP="000651D7">
      <w:pPr>
        <w:pStyle w:val="ListParagraph"/>
        <w:numPr>
          <w:ilvl w:val="0"/>
          <w:numId w:val="28"/>
        </w:numPr>
        <w:jc w:val="both"/>
        <w:rPr>
          <w:sz w:val="24"/>
          <w:szCs w:val="24"/>
        </w:rPr>
      </w:pPr>
      <w:r w:rsidRPr="006603A8">
        <w:rPr>
          <w:sz w:val="24"/>
          <w:szCs w:val="24"/>
        </w:rPr>
        <w:t xml:space="preserve">The reorganisation of the fixed income portfolio, </w:t>
      </w:r>
    </w:p>
    <w:p w14:paraId="1DB306B6" w14:textId="77777777" w:rsidR="000651D7" w:rsidRDefault="000651D7" w:rsidP="000651D7">
      <w:pPr>
        <w:pStyle w:val="ListParagraph"/>
        <w:numPr>
          <w:ilvl w:val="0"/>
          <w:numId w:val="29"/>
        </w:numPr>
        <w:jc w:val="both"/>
        <w:rPr>
          <w:sz w:val="24"/>
          <w:szCs w:val="24"/>
        </w:rPr>
      </w:pPr>
      <w:r w:rsidRPr="006603A8">
        <w:rPr>
          <w:sz w:val="24"/>
          <w:szCs w:val="24"/>
        </w:rPr>
        <w:t xml:space="preserve">allocating 5% of the Fund to the LCIV Global Bond Fund and </w:t>
      </w:r>
    </w:p>
    <w:p w14:paraId="781545B6" w14:textId="77777777" w:rsidR="000651D7" w:rsidRDefault="000651D7" w:rsidP="000651D7">
      <w:pPr>
        <w:pStyle w:val="ListParagraph"/>
        <w:numPr>
          <w:ilvl w:val="0"/>
          <w:numId w:val="29"/>
        </w:numPr>
        <w:jc w:val="both"/>
        <w:rPr>
          <w:sz w:val="24"/>
          <w:szCs w:val="24"/>
        </w:rPr>
      </w:pPr>
      <w:r w:rsidRPr="006603A8">
        <w:rPr>
          <w:sz w:val="24"/>
          <w:szCs w:val="24"/>
        </w:rPr>
        <w:t xml:space="preserve">5% to the Blackrock passive Index linked Gilts Fund, which is regarded as pooled </w:t>
      </w:r>
    </w:p>
    <w:p w14:paraId="63204FE6" w14:textId="77777777" w:rsidR="000651D7" w:rsidRPr="006603A8" w:rsidRDefault="000651D7" w:rsidP="000651D7">
      <w:pPr>
        <w:pStyle w:val="ListParagraph"/>
        <w:numPr>
          <w:ilvl w:val="0"/>
          <w:numId w:val="28"/>
        </w:numPr>
        <w:jc w:val="both"/>
        <w:rPr>
          <w:sz w:val="24"/>
          <w:szCs w:val="24"/>
        </w:rPr>
      </w:pPr>
      <w:r>
        <w:rPr>
          <w:sz w:val="24"/>
          <w:szCs w:val="24"/>
        </w:rPr>
        <w:t>The commitment of £50million to the LCIV Renewable Infrastructure Fund.</w:t>
      </w:r>
    </w:p>
    <w:p w14:paraId="18393CBC" w14:textId="77777777" w:rsidR="000651D7" w:rsidRDefault="000651D7" w:rsidP="000651D7">
      <w:pPr>
        <w:pStyle w:val="ListParagraph"/>
        <w:rPr>
          <w:szCs w:val="24"/>
        </w:rPr>
      </w:pPr>
    </w:p>
    <w:p w14:paraId="37C5E199" w14:textId="77777777" w:rsidR="000651D7" w:rsidRDefault="000651D7" w:rsidP="000651D7">
      <w:pPr>
        <w:numPr>
          <w:ilvl w:val="0"/>
          <w:numId w:val="16"/>
        </w:numPr>
        <w:tabs>
          <w:tab w:val="clear" w:pos="584"/>
          <w:tab w:val="num" w:pos="284"/>
        </w:tabs>
        <w:ind w:left="284" w:hanging="284"/>
        <w:jc w:val="both"/>
        <w:rPr>
          <w:szCs w:val="24"/>
        </w:rPr>
      </w:pPr>
      <w:r w:rsidRPr="000651D7">
        <w:rPr>
          <w:szCs w:val="24"/>
        </w:rPr>
        <w:t>Once the transitions for the fixed income portfolio are completed this will increase the proportion of assets pooled to approximately 64% of the Fund, and once the commitments to the LCIV Infrastructure Fund and LCIV Renewable Infrastructure Fund have been fully drawn down this will increase to 74.5</w:t>
      </w:r>
      <w:r>
        <w:rPr>
          <w:szCs w:val="24"/>
        </w:rPr>
        <w:t>%</w:t>
      </w:r>
    </w:p>
    <w:p w14:paraId="07299486" w14:textId="77777777" w:rsidR="000651D7" w:rsidRDefault="000651D7" w:rsidP="000651D7">
      <w:pPr>
        <w:ind w:left="284"/>
        <w:jc w:val="both"/>
        <w:rPr>
          <w:szCs w:val="24"/>
        </w:rPr>
      </w:pPr>
    </w:p>
    <w:p w14:paraId="16D5996B" w14:textId="3FFCA439" w:rsidR="000651D7" w:rsidRDefault="000651D7" w:rsidP="000651D7">
      <w:pPr>
        <w:numPr>
          <w:ilvl w:val="0"/>
          <w:numId w:val="16"/>
        </w:numPr>
        <w:tabs>
          <w:tab w:val="clear" w:pos="584"/>
          <w:tab w:val="num" w:pos="284"/>
        </w:tabs>
        <w:ind w:left="284" w:hanging="284"/>
        <w:jc w:val="both"/>
        <w:rPr>
          <w:szCs w:val="24"/>
        </w:rPr>
      </w:pPr>
      <w:r w:rsidRPr="000651D7">
        <w:rPr>
          <w:szCs w:val="24"/>
        </w:rPr>
        <w:t xml:space="preserve">During 2020 and in 2021 to date, LCIV has made significant progress in </w:t>
      </w:r>
      <w:proofErr w:type="gramStart"/>
      <w:r w:rsidRPr="000651D7">
        <w:rPr>
          <w:szCs w:val="24"/>
        </w:rPr>
        <w:t>a number of</w:t>
      </w:r>
      <w:proofErr w:type="gramEnd"/>
      <w:r w:rsidRPr="000651D7">
        <w:rPr>
          <w:szCs w:val="24"/>
        </w:rPr>
        <w:t xml:space="preserve"> key areas, improving and increasing the number and quality of staff employed, and in developing its range of Fund offerings. </w:t>
      </w:r>
    </w:p>
    <w:p w14:paraId="5A34EA3C" w14:textId="77777777" w:rsidR="000651D7" w:rsidRDefault="000651D7" w:rsidP="000651D7">
      <w:pPr>
        <w:ind w:left="284"/>
        <w:jc w:val="both"/>
        <w:rPr>
          <w:szCs w:val="24"/>
        </w:rPr>
      </w:pPr>
    </w:p>
    <w:p w14:paraId="01F2D444" w14:textId="77777777" w:rsidR="00C16231" w:rsidRDefault="000651D7" w:rsidP="000651D7">
      <w:pPr>
        <w:numPr>
          <w:ilvl w:val="0"/>
          <w:numId w:val="16"/>
        </w:numPr>
        <w:tabs>
          <w:tab w:val="clear" w:pos="584"/>
          <w:tab w:val="num" w:pos="284"/>
        </w:tabs>
        <w:ind w:left="284" w:hanging="284"/>
        <w:jc w:val="both"/>
        <w:rPr>
          <w:szCs w:val="24"/>
        </w:rPr>
      </w:pPr>
      <w:r w:rsidRPr="000651D7">
        <w:rPr>
          <w:szCs w:val="24"/>
        </w:rPr>
        <w:t>At 30 June 2021, LCIV had over £13.5 billion of assets under management (including commitments). A further £13.2billion were managed via the passive funds which are regarded as pooled. Their current fund range includes</w:t>
      </w:r>
      <w:r w:rsidR="00C16231">
        <w:rPr>
          <w:szCs w:val="24"/>
        </w:rPr>
        <w:t>.</w:t>
      </w:r>
    </w:p>
    <w:p w14:paraId="0560669A" w14:textId="77777777" w:rsidR="00C16231" w:rsidRDefault="00C16231" w:rsidP="00C16231">
      <w:pPr>
        <w:pStyle w:val="ListParagraph"/>
        <w:numPr>
          <w:ilvl w:val="0"/>
          <w:numId w:val="23"/>
        </w:numPr>
        <w:rPr>
          <w:sz w:val="24"/>
          <w:szCs w:val="24"/>
        </w:rPr>
      </w:pPr>
      <w:r>
        <w:rPr>
          <w:sz w:val="24"/>
          <w:szCs w:val="24"/>
        </w:rPr>
        <w:t>8</w:t>
      </w:r>
      <w:r w:rsidRPr="00FD2510">
        <w:rPr>
          <w:sz w:val="24"/>
          <w:szCs w:val="24"/>
        </w:rPr>
        <w:t xml:space="preserve"> global equity funds</w:t>
      </w:r>
      <w:r>
        <w:rPr>
          <w:sz w:val="24"/>
          <w:szCs w:val="24"/>
        </w:rPr>
        <w:t xml:space="preserve"> (in addition to the passive funds which are held outside of the CIV)</w:t>
      </w:r>
    </w:p>
    <w:p w14:paraId="5E4CD9FD" w14:textId="77777777" w:rsidR="00C16231" w:rsidRDefault="00C16231" w:rsidP="00C16231">
      <w:pPr>
        <w:pStyle w:val="ListParagraph"/>
        <w:numPr>
          <w:ilvl w:val="0"/>
          <w:numId w:val="23"/>
        </w:numPr>
        <w:rPr>
          <w:sz w:val="24"/>
          <w:szCs w:val="24"/>
        </w:rPr>
      </w:pPr>
      <w:r>
        <w:rPr>
          <w:sz w:val="24"/>
          <w:szCs w:val="24"/>
        </w:rPr>
        <w:t>1 emerging markets equity fund</w:t>
      </w:r>
    </w:p>
    <w:p w14:paraId="4553BA04" w14:textId="77777777" w:rsidR="00C16231" w:rsidRDefault="00C16231" w:rsidP="00C16231">
      <w:pPr>
        <w:pStyle w:val="ListParagraph"/>
        <w:numPr>
          <w:ilvl w:val="0"/>
          <w:numId w:val="23"/>
        </w:numPr>
        <w:rPr>
          <w:sz w:val="24"/>
          <w:szCs w:val="24"/>
        </w:rPr>
      </w:pPr>
      <w:r>
        <w:rPr>
          <w:sz w:val="24"/>
          <w:szCs w:val="24"/>
        </w:rPr>
        <w:t>4 multi asset funds</w:t>
      </w:r>
    </w:p>
    <w:p w14:paraId="38141601" w14:textId="77777777" w:rsidR="00C16231" w:rsidRDefault="00C16231" w:rsidP="00C16231">
      <w:pPr>
        <w:pStyle w:val="ListParagraph"/>
        <w:numPr>
          <w:ilvl w:val="0"/>
          <w:numId w:val="23"/>
        </w:numPr>
        <w:rPr>
          <w:sz w:val="24"/>
          <w:szCs w:val="24"/>
        </w:rPr>
      </w:pPr>
      <w:r>
        <w:rPr>
          <w:sz w:val="24"/>
          <w:szCs w:val="24"/>
        </w:rPr>
        <w:t>2 Fixed income funds (1 MAC, 1 Global bonds)</w:t>
      </w:r>
    </w:p>
    <w:p w14:paraId="759CE313" w14:textId="77777777" w:rsidR="00C16231" w:rsidRDefault="00C16231" w:rsidP="00C16231">
      <w:pPr>
        <w:pStyle w:val="ListParagraph"/>
        <w:numPr>
          <w:ilvl w:val="0"/>
          <w:numId w:val="23"/>
        </w:numPr>
        <w:rPr>
          <w:sz w:val="24"/>
          <w:szCs w:val="24"/>
        </w:rPr>
      </w:pPr>
      <w:r>
        <w:rPr>
          <w:sz w:val="24"/>
          <w:szCs w:val="24"/>
        </w:rPr>
        <w:t>1 Infrastructure fund</w:t>
      </w:r>
    </w:p>
    <w:p w14:paraId="1EC05161" w14:textId="77777777" w:rsidR="00C16231" w:rsidRDefault="00C16231" w:rsidP="00C16231">
      <w:pPr>
        <w:pStyle w:val="ListParagraph"/>
        <w:numPr>
          <w:ilvl w:val="0"/>
          <w:numId w:val="23"/>
        </w:numPr>
        <w:rPr>
          <w:sz w:val="24"/>
          <w:szCs w:val="24"/>
        </w:rPr>
      </w:pPr>
      <w:r>
        <w:rPr>
          <w:sz w:val="24"/>
          <w:szCs w:val="24"/>
        </w:rPr>
        <w:t>1 Renewables Infrastructure Fund</w:t>
      </w:r>
    </w:p>
    <w:p w14:paraId="52FECB48" w14:textId="77777777" w:rsidR="00C16231" w:rsidRDefault="00C16231" w:rsidP="00C16231">
      <w:pPr>
        <w:pStyle w:val="ListParagraph"/>
        <w:numPr>
          <w:ilvl w:val="0"/>
          <w:numId w:val="23"/>
        </w:numPr>
        <w:rPr>
          <w:sz w:val="24"/>
          <w:szCs w:val="24"/>
        </w:rPr>
      </w:pPr>
      <w:r>
        <w:rPr>
          <w:sz w:val="24"/>
          <w:szCs w:val="24"/>
        </w:rPr>
        <w:lastRenderedPageBreak/>
        <w:t>1 property fund (the London Fund)</w:t>
      </w:r>
    </w:p>
    <w:p w14:paraId="13C96938" w14:textId="77777777" w:rsidR="00C16231" w:rsidRPr="00FD2510" w:rsidRDefault="00C16231" w:rsidP="00C16231">
      <w:pPr>
        <w:pStyle w:val="ListParagraph"/>
        <w:numPr>
          <w:ilvl w:val="0"/>
          <w:numId w:val="23"/>
        </w:numPr>
        <w:rPr>
          <w:sz w:val="24"/>
          <w:szCs w:val="24"/>
        </w:rPr>
      </w:pPr>
      <w:r>
        <w:rPr>
          <w:sz w:val="24"/>
          <w:szCs w:val="24"/>
        </w:rPr>
        <w:t>1 Private Debt Fund</w:t>
      </w:r>
    </w:p>
    <w:p w14:paraId="58D52E5C" w14:textId="77777777" w:rsidR="00C16231" w:rsidRDefault="00C16231" w:rsidP="00C16231">
      <w:pPr>
        <w:pStyle w:val="ListParagraph"/>
        <w:rPr>
          <w:szCs w:val="24"/>
        </w:rPr>
      </w:pPr>
    </w:p>
    <w:p w14:paraId="7722F210" w14:textId="77777777" w:rsidR="00C16231" w:rsidRDefault="000651D7" w:rsidP="00C16231">
      <w:pPr>
        <w:numPr>
          <w:ilvl w:val="0"/>
          <w:numId w:val="16"/>
        </w:numPr>
        <w:tabs>
          <w:tab w:val="clear" w:pos="584"/>
          <w:tab w:val="num" w:pos="284"/>
        </w:tabs>
        <w:ind w:left="284" w:hanging="284"/>
        <w:jc w:val="both"/>
        <w:rPr>
          <w:szCs w:val="24"/>
        </w:rPr>
      </w:pPr>
      <w:r w:rsidRPr="00C16231">
        <w:rPr>
          <w:szCs w:val="24"/>
        </w:rPr>
        <w:t xml:space="preserve">Other Funds </w:t>
      </w:r>
      <w:r w:rsidR="00C16231" w:rsidRPr="00C16231">
        <w:rPr>
          <w:szCs w:val="24"/>
        </w:rPr>
        <w:t xml:space="preserve">are </w:t>
      </w:r>
      <w:r w:rsidRPr="00C16231">
        <w:rPr>
          <w:szCs w:val="24"/>
        </w:rPr>
        <w:t>currently under development including</w:t>
      </w:r>
    </w:p>
    <w:p w14:paraId="5396B9EF" w14:textId="77777777" w:rsidR="00C16231" w:rsidRPr="000651D7" w:rsidRDefault="00C16231" w:rsidP="00C16231">
      <w:pPr>
        <w:pStyle w:val="ListParagraph"/>
        <w:numPr>
          <w:ilvl w:val="0"/>
          <w:numId w:val="24"/>
        </w:numPr>
        <w:jc w:val="both"/>
        <w:rPr>
          <w:sz w:val="24"/>
          <w:szCs w:val="24"/>
        </w:rPr>
      </w:pPr>
      <w:r>
        <w:rPr>
          <w:sz w:val="24"/>
          <w:szCs w:val="24"/>
        </w:rPr>
        <w:t xml:space="preserve">Alternative credit (a second MAC fund) </w:t>
      </w:r>
    </w:p>
    <w:p w14:paraId="5867DC37" w14:textId="77777777" w:rsidR="00C16231" w:rsidRPr="00FD2510" w:rsidRDefault="00C16231" w:rsidP="00C16231">
      <w:pPr>
        <w:pStyle w:val="ListParagraph"/>
        <w:numPr>
          <w:ilvl w:val="0"/>
          <w:numId w:val="24"/>
        </w:numPr>
        <w:jc w:val="both"/>
        <w:rPr>
          <w:sz w:val="24"/>
          <w:szCs w:val="24"/>
        </w:rPr>
      </w:pPr>
      <w:r w:rsidRPr="00FD2510">
        <w:rPr>
          <w:sz w:val="24"/>
          <w:szCs w:val="24"/>
        </w:rPr>
        <w:t>Sterling Credit</w:t>
      </w:r>
    </w:p>
    <w:p w14:paraId="06D279C9" w14:textId="77777777" w:rsidR="00C16231" w:rsidRDefault="00C16231" w:rsidP="00C16231">
      <w:pPr>
        <w:ind w:left="284"/>
        <w:jc w:val="both"/>
        <w:rPr>
          <w:szCs w:val="24"/>
        </w:rPr>
      </w:pPr>
    </w:p>
    <w:p w14:paraId="5117819A" w14:textId="2F9CDCED" w:rsidR="000651D7" w:rsidRPr="00C16231" w:rsidRDefault="000651D7" w:rsidP="00E2344F">
      <w:pPr>
        <w:numPr>
          <w:ilvl w:val="0"/>
          <w:numId w:val="16"/>
        </w:numPr>
        <w:tabs>
          <w:tab w:val="clear" w:pos="584"/>
          <w:tab w:val="num" w:pos="284"/>
        </w:tabs>
        <w:ind w:left="284" w:hanging="284"/>
        <w:jc w:val="both"/>
      </w:pPr>
      <w:r w:rsidRPr="00C16231">
        <w:rPr>
          <w:szCs w:val="24"/>
        </w:rPr>
        <w:t xml:space="preserve">The Fund development process includes “seed investor groups” from funds which may be interested in the fund being considered. The purpose of these funds is to ensure that mandate development follows a direction which the client funds require and hence will invest in. It is possible to participate in these groups to gain an understanding of how the mandate will develop without committing to invest. Consequently, LBH officers participated in a number of these groups as our Investment strategy Review progressed. </w:t>
      </w:r>
    </w:p>
    <w:p w14:paraId="2FD438A1" w14:textId="77777777" w:rsidR="00C16231" w:rsidRDefault="00C16231" w:rsidP="00C16231">
      <w:pPr>
        <w:tabs>
          <w:tab w:val="num" w:pos="284"/>
        </w:tabs>
        <w:ind w:left="284"/>
        <w:jc w:val="both"/>
      </w:pPr>
    </w:p>
    <w:p w14:paraId="3581B1FB" w14:textId="03125C2E" w:rsidR="00C16231" w:rsidRDefault="000651D7" w:rsidP="00C16231">
      <w:pPr>
        <w:numPr>
          <w:ilvl w:val="0"/>
          <w:numId w:val="16"/>
        </w:numPr>
        <w:tabs>
          <w:tab w:val="clear" w:pos="584"/>
          <w:tab w:val="num" w:pos="284"/>
        </w:tabs>
        <w:ind w:left="284" w:hanging="284"/>
        <w:jc w:val="both"/>
      </w:pPr>
      <w:r>
        <w:t>A</w:t>
      </w:r>
      <w:r w:rsidR="00C16231">
        <w:t xml:space="preserve"> key aspect of the move to pooling was the desire to reduce management costs. The London CIV has recently circulated details of estimated savings to client funds from pooling. These are included at appendix 1 (savings for the year ended 31 March 2021) and appendix 2 (Since inception). Please note that both appendices contain exempt information.</w:t>
      </w:r>
    </w:p>
    <w:bookmarkEnd w:id="1"/>
    <w:p w14:paraId="3469E0D9" w14:textId="621B169D" w:rsidR="00213BE7" w:rsidRDefault="00213BE7" w:rsidP="00213BE7">
      <w:pPr>
        <w:pStyle w:val="Heading2"/>
      </w:pPr>
      <w:r>
        <w:t>Legal Implications</w:t>
      </w:r>
    </w:p>
    <w:p w14:paraId="443F8251" w14:textId="53772BE0" w:rsidR="00180D94" w:rsidRPr="00C16231" w:rsidRDefault="00180D94" w:rsidP="00180D94">
      <w:pPr>
        <w:rPr>
          <w:sz w:val="28"/>
          <w:szCs w:val="28"/>
        </w:rPr>
      </w:pPr>
    </w:p>
    <w:p w14:paraId="75D7E075" w14:textId="5CD43D7F" w:rsidR="00A80313" w:rsidRPr="00C16231" w:rsidRDefault="00180D94" w:rsidP="00A80313">
      <w:pPr>
        <w:pStyle w:val="ListParagraph"/>
        <w:numPr>
          <w:ilvl w:val="0"/>
          <w:numId w:val="16"/>
        </w:numPr>
        <w:rPr>
          <w:sz w:val="24"/>
          <w:szCs w:val="24"/>
        </w:rPr>
      </w:pPr>
      <w:r w:rsidRPr="00C16231">
        <w:rPr>
          <w:sz w:val="24"/>
          <w:szCs w:val="24"/>
        </w:rPr>
        <w:t xml:space="preserve">The </w:t>
      </w:r>
      <w:r w:rsidR="00C16231" w:rsidRPr="00C16231">
        <w:rPr>
          <w:sz w:val="24"/>
          <w:szCs w:val="24"/>
        </w:rPr>
        <w:t>LGPS (Management and Investment of Funds) Regulations 2016 provide the basis from which the Fund develops its Investment strategy and manages its investments. The Secretary of State has issued Statutory Guidance which requires all LGPS Funds to work towards pooling investments where it is practical and cost effective to do so.</w:t>
      </w:r>
    </w:p>
    <w:p w14:paraId="41BB405D" w14:textId="77777777" w:rsidR="002A2389" w:rsidRDefault="002A2389" w:rsidP="003D2FFE">
      <w:pPr>
        <w:pStyle w:val="Heading2"/>
        <w:spacing w:after="240"/>
      </w:pPr>
      <w:r>
        <w:t>Financial Implications</w:t>
      </w:r>
    </w:p>
    <w:p w14:paraId="110B0902" w14:textId="4D0E57B6" w:rsidR="00180D94" w:rsidRPr="00F22AA0" w:rsidRDefault="00C16231" w:rsidP="00180D94">
      <w:pPr>
        <w:pStyle w:val="ListParagraph"/>
        <w:numPr>
          <w:ilvl w:val="0"/>
          <w:numId w:val="16"/>
        </w:numPr>
        <w:rPr>
          <w:sz w:val="24"/>
          <w:szCs w:val="24"/>
        </w:rPr>
      </w:pPr>
      <w:r w:rsidRPr="00C16231">
        <w:rPr>
          <w:sz w:val="24"/>
          <w:szCs w:val="24"/>
        </w:rPr>
        <w:t xml:space="preserve">There </w:t>
      </w:r>
      <w:r w:rsidRPr="00C16231">
        <w:rPr>
          <w:sz w:val="24"/>
          <w:szCs w:val="24"/>
          <w:lang w:val="en-US"/>
        </w:rPr>
        <w:t>are no direct financial implications arising from this report. Pooling of investments has enabled the Fund to achieve some savings in the level of fees paid to investment managers</w:t>
      </w:r>
      <w:r>
        <w:rPr>
          <w:sz w:val="24"/>
          <w:szCs w:val="24"/>
          <w:lang w:val="en-US"/>
        </w:rPr>
        <w:t xml:space="preserve"> and thus increase net returns earned on investments. The </w:t>
      </w:r>
      <w:r w:rsidR="00180D94" w:rsidRPr="00F22AA0">
        <w:rPr>
          <w:sz w:val="24"/>
          <w:szCs w:val="24"/>
        </w:rPr>
        <w:t>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5AB5DD0C"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w:t>
      </w:r>
      <w:r w:rsidR="00AE367A">
        <w:t xml:space="preserve">Pension Fund </w:t>
      </w:r>
      <w:r w:rsidRPr="00690F76">
        <w:t xml:space="preserve">Committee and by the Pension Board. </w:t>
      </w:r>
      <w:r>
        <w:t xml:space="preserve">The </w:t>
      </w:r>
      <w:r w:rsidR="00AE367A">
        <w:t xml:space="preserve">next </w:t>
      </w:r>
      <w:r>
        <w:t xml:space="preserve">review </w:t>
      </w:r>
      <w:r w:rsidR="006D6B23">
        <w:t>w</w:t>
      </w:r>
      <w:r w:rsidR="00AE367A">
        <w:t xml:space="preserve">ill be at the Board’s </w:t>
      </w:r>
      <w:r w:rsidR="006D6B23">
        <w:t xml:space="preserve">meeting </w:t>
      </w:r>
      <w:r w:rsidR="00AE367A">
        <w:t>on 1 December 2021.</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586EAA3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w:t>
      </w:r>
      <w:r>
        <w:lastRenderedPageBreak/>
        <w:t xml:space="preserve">component in </w:t>
      </w:r>
      <w:r w:rsidRPr="003F5AF9">
        <w:t>developing the Fund’s investment strategy</w:t>
      </w:r>
      <w:r w:rsidR="00AE367A">
        <w:t xml:space="preserve"> and </w:t>
      </w:r>
      <w:r w:rsidR="00E3793E">
        <w:t xml:space="preserve">the risks </w:t>
      </w:r>
      <w:r w:rsidR="00AE367A">
        <w:t>are set out in the ISS.</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024EB20B" w:rsidR="00FD31A0" w:rsidRPr="004A2543" w:rsidRDefault="00180D94" w:rsidP="00FD31A0">
      <w:pPr>
        <w:numPr>
          <w:ilvl w:val="0"/>
          <w:numId w:val="16"/>
        </w:numPr>
        <w:autoSpaceDE w:val="0"/>
        <w:autoSpaceDN w:val="0"/>
        <w:adjustRightInd w:val="0"/>
        <w:ind w:left="426" w:hanging="426"/>
      </w:pPr>
      <w:r w:rsidRPr="00001ECC">
        <w:rPr>
          <w:szCs w:val="24"/>
          <w:lang w:val="en-US"/>
        </w:rPr>
        <w:t>The performance of the Pension Fund directly affects the level of employer contribution which then, in turn, affects the resources available for the Council’s priorities</w:t>
      </w:r>
      <w:r w:rsidR="00F22AA0" w:rsidRPr="00001ECC">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1C91F385" w:rsidR="00912904" w:rsidRPr="00A66326" w:rsidRDefault="00912904" w:rsidP="00912904">
      <w:pPr>
        <w:rPr>
          <w:sz w:val="28"/>
        </w:rPr>
      </w:pPr>
      <w:r w:rsidRPr="00A66326">
        <w:rPr>
          <w:b/>
          <w:sz w:val="28"/>
        </w:rPr>
        <w:t xml:space="preserve">Statutory Officer:  </w:t>
      </w:r>
      <w:r w:rsidR="0092080A">
        <w:rPr>
          <w:b/>
          <w:sz w:val="28"/>
        </w:rPr>
        <w:t>Dawn Calvert</w:t>
      </w:r>
    </w:p>
    <w:p w14:paraId="57640BD9" w14:textId="64851CBC" w:rsidR="00912904" w:rsidRDefault="00912904" w:rsidP="00912904">
      <w:r w:rsidRPr="00A66326">
        <w:t>Signed by the Chief Financial Officer</w:t>
      </w:r>
    </w:p>
    <w:p w14:paraId="5745A2E3" w14:textId="5AE10DE4" w:rsidR="00912904" w:rsidRPr="00A66326" w:rsidRDefault="00912904" w:rsidP="00912904">
      <w:pPr>
        <w:spacing w:after="480"/>
        <w:rPr>
          <w:sz w:val="28"/>
        </w:rPr>
      </w:pPr>
      <w:r w:rsidRPr="00A66326">
        <w:rPr>
          <w:b/>
          <w:sz w:val="28"/>
        </w:rPr>
        <w:t xml:space="preserve">Date:  </w:t>
      </w:r>
      <w:r w:rsidR="0092080A">
        <w:rPr>
          <w:b/>
          <w:sz w:val="28"/>
        </w:rPr>
        <w:t>17/09/2021</w:t>
      </w:r>
    </w:p>
    <w:p w14:paraId="2586CC50" w14:textId="10DA9C80" w:rsidR="00912904" w:rsidRPr="00A66326" w:rsidRDefault="00912904" w:rsidP="00912904">
      <w:pPr>
        <w:rPr>
          <w:sz w:val="28"/>
        </w:rPr>
      </w:pPr>
      <w:r w:rsidRPr="00A66326">
        <w:rPr>
          <w:b/>
          <w:sz w:val="28"/>
        </w:rPr>
        <w:t xml:space="preserve">Statutory Officer:  </w:t>
      </w:r>
      <w:r w:rsidR="006F7625">
        <w:rPr>
          <w:b/>
          <w:sz w:val="28"/>
        </w:rPr>
        <w:t>Sharon Clarke</w:t>
      </w:r>
    </w:p>
    <w:p w14:paraId="3F58D77A" w14:textId="60ABC8E9" w:rsidR="00912904" w:rsidRPr="00A66326" w:rsidRDefault="00912904" w:rsidP="00912904">
      <w:r w:rsidRPr="00A66326">
        <w:t>Signed on behalf of the Monitoring Officer</w:t>
      </w:r>
    </w:p>
    <w:p w14:paraId="61F8C7E6" w14:textId="29278988" w:rsidR="00912904" w:rsidRPr="003313EA" w:rsidRDefault="00912904" w:rsidP="00016249">
      <w:pPr>
        <w:tabs>
          <w:tab w:val="left" w:pos="1310"/>
        </w:tabs>
        <w:spacing w:after="480"/>
        <w:rPr>
          <w:sz w:val="28"/>
        </w:rPr>
      </w:pPr>
      <w:r w:rsidRPr="00A66326">
        <w:rPr>
          <w:b/>
          <w:sz w:val="28"/>
        </w:rPr>
        <w:t xml:space="preserve">Date:  </w:t>
      </w:r>
      <w:r w:rsidR="006F7625">
        <w:rPr>
          <w:b/>
          <w:sz w:val="28"/>
        </w:rPr>
        <w:t>21/09/2021</w:t>
      </w:r>
    </w:p>
    <w:p w14:paraId="2019A53D" w14:textId="3AAC111A"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92080A">
        <w:rPr>
          <w:b/>
          <w:sz w:val="28"/>
        </w:rPr>
        <w:t>Dawn Calvert</w:t>
      </w:r>
    </w:p>
    <w:p w14:paraId="12E4D11B" w14:textId="3549ACCC" w:rsidR="00912904" w:rsidRPr="00A66326" w:rsidRDefault="00365D29" w:rsidP="00912904">
      <w:r>
        <w:t>Signed</w:t>
      </w:r>
      <w:r w:rsidR="00912904" w:rsidRPr="00A66326">
        <w:t xml:space="preserve"> </w:t>
      </w:r>
      <w:r w:rsidR="0092080A">
        <w:t>on behalf of</w:t>
      </w:r>
      <w:r w:rsidR="00912904" w:rsidRPr="00A66326">
        <w:t xml:space="preserve"> the Corporate Director</w:t>
      </w:r>
    </w:p>
    <w:p w14:paraId="21482980" w14:textId="684FEB20" w:rsidR="00912904" w:rsidRPr="00A66326" w:rsidRDefault="00912904" w:rsidP="00912904">
      <w:pPr>
        <w:spacing w:after="480"/>
        <w:rPr>
          <w:sz w:val="28"/>
        </w:rPr>
      </w:pPr>
      <w:r w:rsidRPr="00A66326">
        <w:rPr>
          <w:b/>
          <w:sz w:val="28"/>
        </w:rPr>
        <w:t xml:space="preserve">Date:  </w:t>
      </w:r>
      <w:r w:rsidR="0092080A">
        <w:rPr>
          <w:b/>
          <w:sz w:val="28"/>
        </w:rPr>
        <w:t>17/09/2021</w:t>
      </w:r>
    </w:p>
    <w:p w14:paraId="686CE5D8" w14:textId="77777777" w:rsidR="00912904" w:rsidRPr="00435B5D" w:rsidRDefault="00912904" w:rsidP="00912904">
      <w:pPr>
        <w:pStyle w:val="Heading2"/>
        <w:spacing w:after="240"/>
      </w:pPr>
      <w:r>
        <w:t>Mandatory Checks</w:t>
      </w:r>
    </w:p>
    <w:p w14:paraId="71FBC41D" w14:textId="14DE02B4" w:rsidR="00912904" w:rsidRPr="007D4054" w:rsidRDefault="00912904" w:rsidP="00180D94">
      <w:pPr>
        <w:pStyle w:val="Heading3"/>
        <w:ind w:left="0" w:firstLine="0"/>
        <w:rPr>
          <w:b w:val="0"/>
          <w:bCs w:val="0"/>
          <w:i/>
          <w:color w:val="FF0000"/>
          <w:szCs w:val="24"/>
        </w:rPr>
      </w:pPr>
      <w:r w:rsidRPr="00E90AFF">
        <w:rPr>
          <w:sz w:val="28"/>
        </w:rPr>
        <w:t xml:space="preserve">Ward Councillors notified:  </w:t>
      </w:r>
      <w:r w:rsidR="00180D94" w:rsidRPr="007D4054">
        <w:rPr>
          <w:b w:val="0"/>
          <w:bCs w:val="0"/>
          <w:sz w:val="28"/>
        </w:rPr>
        <w:t>Not applicable</w:t>
      </w:r>
      <w:r w:rsidRPr="007D4054">
        <w:rPr>
          <w:b w:val="0"/>
          <w:bCs w:val="0"/>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064CDBC2" w14:textId="4CD3470B" w:rsidR="00180D94" w:rsidRPr="00DD6270" w:rsidRDefault="00180D94" w:rsidP="00180D94">
      <w:pPr>
        <w:pStyle w:val="Infotext"/>
      </w:pPr>
      <w:r w:rsidRPr="00A175BD">
        <w:rPr>
          <w:sz w:val="24"/>
          <w:szCs w:val="24"/>
        </w:rPr>
        <w:t xml:space="preserve">Email: </w:t>
      </w:r>
      <w:hyperlink r:id="rId11" w:history="1">
        <w:r w:rsidRPr="00A175BD">
          <w:rPr>
            <w:rStyle w:val="Hyperlink"/>
            <w:sz w:val="24"/>
            <w:szCs w:val="24"/>
          </w:rPr>
          <w:t>Jeremy.randall@harrow.gov.uk</w:t>
        </w:r>
      </w:hyperlink>
      <w:r w:rsidR="007D4054">
        <w:rPr>
          <w:rStyle w:val="Hyperlink"/>
          <w:sz w:val="24"/>
          <w:szCs w:val="24"/>
        </w:rPr>
        <w:t xml:space="preserve">, </w:t>
      </w:r>
      <w:r w:rsidRPr="00DD6270">
        <w:rPr>
          <w:rStyle w:val="Hyperlink"/>
          <w:color w:val="auto"/>
          <w:sz w:val="24"/>
          <w:szCs w:val="24"/>
          <w:u w:val="none"/>
        </w:rPr>
        <w:t>Telephone 020 8</w:t>
      </w:r>
      <w:r>
        <w:rPr>
          <w:rStyle w:val="Hyperlink"/>
          <w:color w:val="auto"/>
          <w:sz w:val="24"/>
          <w:szCs w:val="24"/>
          <w:u w:val="none"/>
        </w:rPr>
        <w:t>736 6552</w:t>
      </w:r>
    </w:p>
    <w:p w14:paraId="695B009D" w14:textId="7D4D04B2" w:rsidR="002A2389" w:rsidRDefault="002A2389" w:rsidP="00001ECC">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721"/>
    <w:multiLevelType w:val="hybridMultilevel"/>
    <w:tmpl w:val="AE64A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7502C"/>
    <w:multiLevelType w:val="hybridMultilevel"/>
    <w:tmpl w:val="D306156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B316CA"/>
    <w:multiLevelType w:val="hybridMultilevel"/>
    <w:tmpl w:val="E8FA6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83B"/>
    <w:multiLevelType w:val="hybridMultilevel"/>
    <w:tmpl w:val="65FCF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F1765"/>
    <w:multiLevelType w:val="hybridMultilevel"/>
    <w:tmpl w:val="6F98B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B0066"/>
    <w:multiLevelType w:val="hybridMultilevel"/>
    <w:tmpl w:val="CD6E8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C1A3C"/>
    <w:multiLevelType w:val="hybridMultilevel"/>
    <w:tmpl w:val="3BC0C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1"/>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8"/>
  </w:num>
  <w:num w:numId="9">
    <w:abstractNumId w:val="6"/>
  </w:num>
  <w:num w:numId="10">
    <w:abstractNumId w:val="19"/>
  </w:num>
  <w:num w:numId="11">
    <w:abstractNumId w:val="27"/>
  </w:num>
  <w:num w:numId="12">
    <w:abstractNumId w:val="17"/>
  </w:num>
  <w:num w:numId="13">
    <w:abstractNumId w:val="3"/>
  </w:num>
  <w:num w:numId="14">
    <w:abstractNumId w:val="10"/>
  </w:num>
  <w:num w:numId="15">
    <w:abstractNumId w:val="15"/>
  </w:num>
  <w:num w:numId="16">
    <w:abstractNumId w:val="7"/>
  </w:num>
  <w:num w:numId="17">
    <w:abstractNumId w:val="11"/>
  </w:num>
  <w:num w:numId="18">
    <w:abstractNumId w:val="24"/>
  </w:num>
  <w:num w:numId="19">
    <w:abstractNumId w:val="1"/>
  </w:num>
  <w:num w:numId="20">
    <w:abstractNumId w:val="20"/>
  </w:num>
  <w:num w:numId="21">
    <w:abstractNumId w:val="26"/>
  </w:num>
  <w:num w:numId="22">
    <w:abstractNumId w:val="14"/>
  </w:num>
  <w:num w:numId="23">
    <w:abstractNumId w:val="25"/>
  </w:num>
  <w:num w:numId="24">
    <w:abstractNumId w:val="0"/>
  </w:num>
  <w:num w:numId="25">
    <w:abstractNumId w:val="5"/>
  </w:num>
  <w:num w:numId="26">
    <w:abstractNumId w:val="9"/>
  </w:num>
  <w:num w:numId="27">
    <w:abstractNumId w:val="22"/>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ECC"/>
    <w:rsid w:val="00013E4E"/>
    <w:rsid w:val="00016249"/>
    <w:rsid w:val="00023F4C"/>
    <w:rsid w:val="00057F10"/>
    <w:rsid w:val="000633A2"/>
    <w:rsid w:val="000651D7"/>
    <w:rsid w:val="00071EB4"/>
    <w:rsid w:val="00077298"/>
    <w:rsid w:val="000967C9"/>
    <w:rsid w:val="000A58A1"/>
    <w:rsid w:val="000A6659"/>
    <w:rsid w:val="000B0E6F"/>
    <w:rsid w:val="000B6DBB"/>
    <w:rsid w:val="000D2BF2"/>
    <w:rsid w:val="000D5870"/>
    <w:rsid w:val="000F65C0"/>
    <w:rsid w:val="00134D55"/>
    <w:rsid w:val="00180D94"/>
    <w:rsid w:val="001939BA"/>
    <w:rsid w:val="00196898"/>
    <w:rsid w:val="001A6EB0"/>
    <w:rsid w:val="001B441D"/>
    <w:rsid w:val="001C5225"/>
    <w:rsid w:val="001C726D"/>
    <w:rsid w:val="001D0B2C"/>
    <w:rsid w:val="001E0219"/>
    <w:rsid w:val="00213BE7"/>
    <w:rsid w:val="00231A1D"/>
    <w:rsid w:val="00244120"/>
    <w:rsid w:val="00293F9F"/>
    <w:rsid w:val="002A2389"/>
    <w:rsid w:val="002B62F0"/>
    <w:rsid w:val="002C08E2"/>
    <w:rsid w:val="002C1794"/>
    <w:rsid w:val="002D2FC5"/>
    <w:rsid w:val="002E6637"/>
    <w:rsid w:val="002E77E3"/>
    <w:rsid w:val="002F0E81"/>
    <w:rsid w:val="00332947"/>
    <w:rsid w:val="00333EB4"/>
    <w:rsid w:val="00345915"/>
    <w:rsid w:val="00365D29"/>
    <w:rsid w:val="00374F22"/>
    <w:rsid w:val="00385716"/>
    <w:rsid w:val="003D2FFE"/>
    <w:rsid w:val="003D5F0A"/>
    <w:rsid w:val="003D73DF"/>
    <w:rsid w:val="00400032"/>
    <w:rsid w:val="004024F4"/>
    <w:rsid w:val="0042394B"/>
    <w:rsid w:val="00473B08"/>
    <w:rsid w:val="00474B5F"/>
    <w:rsid w:val="004A3CE6"/>
    <w:rsid w:val="004A4A1D"/>
    <w:rsid w:val="004B2C9D"/>
    <w:rsid w:val="004B4A47"/>
    <w:rsid w:val="004E667D"/>
    <w:rsid w:val="004E6AF9"/>
    <w:rsid w:val="005031DF"/>
    <w:rsid w:val="00534BAA"/>
    <w:rsid w:val="00592FA5"/>
    <w:rsid w:val="00597314"/>
    <w:rsid w:val="005A61AF"/>
    <w:rsid w:val="005C63F9"/>
    <w:rsid w:val="005D0886"/>
    <w:rsid w:val="005E384D"/>
    <w:rsid w:val="005F2181"/>
    <w:rsid w:val="005F61BC"/>
    <w:rsid w:val="005F724B"/>
    <w:rsid w:val="00606705"/>
    <w:rsid w:val="00625DFF"/>
    <w:rsid w:val="0063072B"/>
    <w:rsid w:val="006603A8"/>
    <w:rsid w:val="00662891"/>
    <w:rsid w:val="006628B7"/>
    <w:rsid w:val="00675FCB"/>
    <w:rsid w:val="006A0B87"/>
    <w:rsid w:val="006B3942"/>
    <w:rsid w:val="006B7DC6"/>
    <w:rsid w:val="006C3914"/>
    <w:rsid w:val="006C4D4C"/>
    <w:rsid w:val="006D3648"/>
    <w:rsid w:val="006D6B23"/>
    <w:rsid w:val="006F6D50"/>
    <w:rsid w:val="006F7625"/>
    <w:rsid w:val="00717E8A"/>
    <w:rsid w:val="0074184E"/>
    <w:rsid w:val="00743829"/>
    <w:rsid w:val="00755F8D"/>
    <w:rsid w:val="007808A7"/>
    <w:rsid w:val="007855AE"/>
    <w:rsid w:val="00796503"/>
    <w:rsid w:val="007B0CB6"/>
    <w:rsid w:val="007B4F2C"/>
    <w:rsid w:val="007D2BDA"/>
    <w:rsid w:val="007D4054"/>
    <w:rsid w:val="007D56C8"/>
    <w:rsid w:val="007E3934"/>
    <w:rsid w:val="007E7303"/>
    <w:rsid w:val="00805611"/>
    <w:rsid w:val="008212A0"/>
    <w:rsid w:val="008306D5"/>
    <w:rsid w:val="00837F53"/>
    <w:rsid w:val="00862DDC"/>
    <w:rsid w:val="008C520A"/>
    <w:rsid w:val="008D1750"/>
    <w:rsid w:val="008D7800"/>
    <w:rsid w:val="008E2910"/>
    <w:rsid w:val="008E4913"/>
    <w:rsid w:val="00900464"/>
    <w:rsid w:val="0090100E"/>
    <w:rsid w:val="00912904"/>
    <w:rsid w:val="0092080A"/>
    <w:rsid w:val="00922249"/>
    <w:rsid w:val="0093767E"/>
    <w:rsid w:val="00972A02"/>
    <w:rsid w:val="0099517C"/>
    <w:rsid w:val="009A0937"/>
    <w:rsid w:val="009B2ECD"/>
    <w:rsid w:val="009B7422"/>
    <w:rsid w:val="009B7914"/>
    <w:rsid w:val="009F430B"/>
    <w:rsid w:val="00A160B2"/>
    <w:rsid w:val="00A16271"/>
    <w:rsid w:val="00A566E7"/>
    <w:rsid w:val="00A630BF"/>
    <w:rsid w:val="00A73B25"/>
    <w:rsid w:val="00A80313"/>
    <w:rsid w:val="00A940D3"/>
    <w:rsid w:val="00A96FCA"/>
    <w:rsid w:val="00AA4BE8"/>
    <w:rsid w:val="00AB1EE3"/>
    <w:rsid w:val="00AC0AAB"/>
    <w:rsid w:val="00AC7BA9"/>
    <w:rsid w:val="00AE367A"/>
    <w:rsid w:val="00B0425E"/>
    <w:rsid w:val="00B26886"/>
    <w:rsid w:val="00B84A87"/>
    <w:rsid w:val="00B900E2"/>
    <w:rsid w:val="00B9118E"/>
    <w:rsid w:val="00BD220F"/>
    <w:rsid w:val="00BD6115"/>
    <w:rsid w:val="00BD684A"/>
    <w:rsid w:val="00C05E9C"/>
    <w:rsid w:val="00C16231"/>
    <w:rsid w:val="00C32DAE"/>
    <w:rsid w:val="00C40E24"/>
    <w:rsid w:val="00C61B80"/>
    <w:rsid w:val="00C92D9A"/>
    <w:rsid w:val="00C96EF5"/>
    <w:rsid w:val="00D241FF"/>
    <w:rsid w:val="00D25064"/>
    <w:rsid w:val="00D32B51"/>
    <w:rsid w:val="00D34668"/>
    <w:rsid w:val="00D3740E"/>
    <w:rsid w:val="00D40335"/>
    <w:rsid w:val="00D82F57"/>
    <w:rsid w:val="00D841A5"/>
    <w:rsid w:val="00D914D2"/>
    <w:rsid w:val="00DA25DB"/>
    <w:rsid w:val="00DB0791"/>
    <w:rsid w:val="00DB1C98"/>
    <w:rsid w:val="00DD4251"/>
    <w:rsid w:val="00DE066C"/>
    <w:rsid w:val="00E00D85"/>
    <w:rsid w:val="00E02B50"/>
    <w:rsid w:val="00E03F11"/>
    <w:rsid w:val="00E06DC8"/>
    <w:rsid w:val="00E220B5"/>
    <w:rsid w:val="00E2344F"/>
    <w:rsid w:val="00E33D93"/>
    <w:rsid w:val="00E3793E"/>
    <w:rsid w:val="00E609EF"/>
    <w:rsid w:val="00E8111D"/>
    <w:rsid w:val="00E8515B"/>
    <w:rsid w:val="00E90AFF"/>
    <w:rsid w:val="00EA0AE0"/>
    <w:rsid w:val="00EC70CD"/>
    <w:rsid w:val="00EF2F91"/>
    <w:rsid w:val="00F22AA0"/>
    <w:rsid w:val="00F33EE3"/>
    <w:rsid w:val="00F4213B"/>
    <w:rsid w:val="00F806B8"/>
    <w:rsid w:val="00F849ED"/>
    <w:rsid w:val="00F92398"/>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1061</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cp:lastModifiedBy>
  <cp:revision>7</cp:revision>
  <cp:lastPrinted>2007-07-12T09:53:00Z</cp:lastPrinted>
  <dcterms:created xsi:type="dcterms:W3CDTF">2021-09-16T14:42:00Z</dcterms:created>
  <dcterms:modified xsi:type="dcterms:W3CDTF">2021-09-28T09:03:00Z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